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6"/>
        <w:tblW w:w="9942"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1"/>
        <w:gridCol w:w="512"/>
        <w:gridCol w:w="888"/>
        <w:gridCol w:w="1323"/>
        <w:gridCol w:w="295"/>
        <w:gridCol w:w="710"/>
        <w:gridCol w:w="520"/>
        <w:gridCol w:w="352"/>
        <w:gridCol w:w="947"/>
        <w:gridCol w:w="317"/>
        <w:gridCol w:w="303"/>
        <w:gridCol w:w="1122"/>
        <w:gridCol w:w="379"/>
        <w:gridCol w:w="1153"/>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1121" w:type="dxa"/>
            <w:tcBorders>
              <w:tl2br w:val="nil"/>
              <w:tr2bl w:val="nil"/>
            </w:tcBorders>
            <w:vAlign w:val="center"/>
          </w:tcPr>
          <w:p w14:paraId="3D56D54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5"/>
            <w:tcBorders>
              <w:tl2br w:val="nil"/>
              <w:tr2bl w:val="nil"/>
            </w:tcBorders>
            <w:vAlign w:val="center"/>
          </w:tcPr>
          <w:p w14:paraId="5609971C">
            <w:pPr>
              <w:ind w:firstLine="240" w:firstLineChars="100"/>
              <w:rPr>
                <w:rFonts w:ascii="仿宋" w:hAnsi="仿宋" w:eastAsia="仿宋" w:cs="仿宋"/>
                <w:color w:val="000000"/>
                <w:sz w:val="21"/>
                <w:szCs w:val="15"/>
              </w:rPr>
            </w:pPr>
            <w:r>
              <w:rPr>
                <w:rFonts w:hint="eastAsia" w:ascii="仿宋" w:hAnsi="仿宋" w:eastAsia="仿宋" w:cs="仿宋"/>
                <w:color w:val="000000"/>
                <w:sz w:val="24"/>
                <w:szCs w:val="24"/>
              </w:rPr>
              <w:t>“战沙海筑绿色长城”特别节目</w:t>
            </w:r>
          </w:p>
        </w:tc>
        <w:tc>
          <w:tcPr>
            <w:tcW w:w="1819" w:type="dxa"/>
            <w:gridSpan w:val="3"/>
            <w:tcBorders>
              <w:tl2br w:val="nil"/>
              <w:tr2bl w:val="nil"/>
            </w:tcBorders>
            <w:vAlign w:val="center"/>
          </w:tcPr>
          <w:p w14:paraId="4D0A6EB6">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ind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重大主题报道</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1121" w:type="dxa"/>
            <w:vMerge w:val="restart"/>
            <w:tcBorders>
              <w:tl2br w:val="nil"/>
              <w:tr2bl w:val="nil"/>
            </w:tcBorders>
            <w:vAlign w:val="center"/>
          </w:tcPr>
          <w:p w14:paraId="420C0C5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5"/>
            <w:vMerge w:val="restart"/>
            <w:tcBorders>
              <w:tl2br w:val="nil"/>
              <w:tr2bl w:val="nil"/>
            </w:tcBorders>
            <w:vAlign w:val="center"/>
          </w:tcPr>
          <w:p w14:paraId="78038E3E">
            <w:pPr>
              <w:ind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51155字 /180分钟</w:t>
            </w:r>
          </w:p>
        </w:tc>
        <w:tc>
          <w:tcPr>
            <w:tcW w:w="1819" w:type="dxa"/>
            <w:gridSpan w:val="3"/>
            <w:tcBorders>
              <w:tl2br w:val="nil"/>
              <w:tr2bl w:val="nil"/>
            </w:tcBorders>
            <w:vAlign w:val="center"/>
          </w:tcPr>
          <w:p w14:paraId="3B74E81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0EF9348B">
            <w:pPr>
              <w:ind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新闻专题</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1121" w:type="dxa"/>
            <w:vMerge w:val="continue"/>
            <w:tcBorders>
              <w:tl2br w:val="nil"/>
              <w:tr2bl w:val="nil"/>
            </w:tcBorders>
            <w:vAlign w:val="center"/>
          </w:tcPr>
          <w:p w14:paraId="595770B0">
            <w:pPr>
              <w:spacing w:line="320" w:lineRule="exact"/>
              <w:jc w:val="center"/>
              <w:rPr>
                <w:rFonts w:ascii="华文中宋" w:hAnsi="华文中宋" w:eastAsia="华文中宋"/>
                <w:color w:val="000000"/>
                <w:sz w:val="28"/>
              </w:rPr>
            </w:pPr>
          </w:p>
        </w:tc>
        <w:tc>
          <w:tcPr>
            <w:tcW w:w="3728" w:type="dxa"/>
            <w:gridSpan w:val="5"/>
            <w:vMerge w:val="continue"/>
            <w:tcBorders>
              <w:tl2br w:val="nil"/>
              <w:tr2bl w:val="nil"/>
            </w:tcBorders>
            <w:vAlign w:val="center"/>
          </w:tcPr>
          <w:p w14:paraId="0A8AF4DF">
            <w:pPr>
              <w:ind w:firstLine="240" w:firstLineChars="100"/>
              <w:rPr>
                <w:rFonts w:hint="eastAsia" w:ascii="仿宋" w:hAnsi="仿宋" w:eastAsia="仿宋" w:cs="仿宋"/>
                <w:color w:val="000000"/>
                <w:sz w:val="24"/>
                <w:szCs w:val="24"/>
              </w:rPr>
            </w:pPr>
          </w:p>
        </w:tc>
        <w:tc>
          <w:tcPr>
            <w:tcW w:w="1819" w:type="dxa"/>
            <w:gridSpan w:val="3"/>
            <w:tcBorders>
              <w:tl2br w:val="nil"/>
              <w:tr2bl w:val="nil"/>
            </w:tcBorders>
            <w:vAlign w:val="center"/>
          </w:tcPr>
          <w:p w14:paraId="0FE0B5D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ind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1121" w:type="dxa"/>
            <w:tcBorders>
              <w:tl2br w:val="nil"/>
              <w:tr2bl w:val="nil"/>
            </w:tcBorders>
            <w:vAlign w:val="center"/>
          </w:tcPr>
          <w:p w14:paraId="39E259F9">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5"/>
            <w:tcBorders>
              <w:tl2br w:val="nil"/>
              <w:tr2bl w:val="nil"/>
            </w:tcBorders>
            <w:vAlign w:val="center"/>
          </w:tcPr>
          <w:p w14:paraId="7453BB5E">
            <w:pPr>
              <w:ind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集体（ 邓丽慧 孟凡磊 孙英 王志明 杜鹃 李蓉蓉 陈成 郭锦 沈超 陆冠臣 李雪琴 毛令筠 贺孜孜 王丽芳 金付生 祖丽飞艳 苗羽莹 赵瑞 嘉央拉姆 张诗年 张超 何万昊 孟利军 刘鹏翔 李凌昊 王程翔 吴璐 田宵睿 李方圆 陈强 杨齐 李虹 孟庆博 廖芯仪 苏婉婷 田雪莲 牛佳妮 王伟华 晏翔 王雪飞 耿芳芳 张红）</w:t>
            </w:r>
          </w:p>
        </w:tc>
        <w:tc>
          <w:tcPr>
            <w:tcW w:w="1819" w:type="dxa"/>
            <w:gridSpan w:val="3"/>
            <w:tcBorders>
              <w:tl2br w:val="nil"/>
              <w:tr2bl w:val="nil"/>
            </w:tcBorders>
            <w:vAlign w:val="center"/>
          </w:tcPr>
          <w:p w14:paraId="4B47EE1F">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spacing w:line="240" w:lineRule="exact"/>
              <w:ind w:firstLine="1050" w:firstLineChars="500"/>
              <w:rPr>
                <w:rFonts w:ascii="仿宋" w:hAnsi="仿宋" w:eastAsia="仿宋" w:cs="仿宋"/>
                <w:color w:val="000000"/>
                <w:sz w:val="21"/>
                <w:szCs w:val="15"/>
              </w:rPr>
            </w:pP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1121" w:type="dxa"/>
            <w:tcBorders>
              <w:tl2br w:val="nil"/>
              <w:tr2bl w:val="nil"/>
            </w:tcBorders>
            <w:vAlign w:val="center"/>
          </w:tcPr>
          <w:p w14:paraId="1D26F75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5"/>
            <w:tcBorders>
              <w:tl2br w:val="nil"/>
              <w:tr2bl w:val="nil"/>
            </w:tcBorders>
            <w:vAlign w:val="center"/>
          </w:tcPr>
          <w:p w14:paraId="4A51632B">
            <w:pPr>
              <w:ind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兵团广播电视台</w:t>
            </w:r>
          </w:p>
        </w:tc>
        <w:tc>
          <w:tcPr>
            <w:tcW w:w="1819" w:type="dxa"/>
            <w:gridSpan w:val="3"/>
            <w:tcBorders>
              <w:tl2br w:val="nil"/>
              <w:tr2bl w:val="nil"/>
            </w:tcBorders>
            <w:vAlign w:val="center"/>
          </w:tcPr>
          <w:p w14:paraId="1916C51B">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spacing w:line="240" w:lineRule="exact"/>
              <w:rPr>
                <w:rFonts w:ascii="仿宋" w:hAnsi="仿宋" w:eastAsia="仿宋" w:cs="仿宋"/>
                <w:color w:val="000000"/>
                <w:sz w:val="21"/>
                <w:szCs w:val="15"/>
              </w:rPr>
            </w:pPr>
            <w:r>
              <w:rPr>
                <w:rFonts w:hint="eastAsia" w:ascii="仿宋" w:hAnsi="仿宋" w:eastAsia="仿宋" w:cs="仿宋"/>
                <w:color w:val="000000"/>
                <w:sz w:val="21"/>
                <w:szCs w:val="15"/>
              </w:rPr>
              <w:t xml:space="preserve"> </w:t>
            </w:r>
            <w:r>
              <w:rPr>
                <w:rFonts w:hint="eastAsia" w:ascii="仿宋" w:hAnsi="仿宋" w:eastAsia="仿宋" w:cs="仿宋"/>
                <w:color w:val="000000"/>
                <w:sz w:val="24"/>
                <w:szCs w:val="24"/>
              </w:rPr>
              <w:t>兵团卫视频道 /云上兵团客户端/兵团广播电视台</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633" w:type="dxa"/>
            <w:gridSpan w:val="2"/>
            <w:tcBorders>
              <w:tl2br w:val="nil"/>
              <w:tr2bl w:val="nil"/>
            </w:tcBorders>
            <w:vAlign w:val="center"/>
          </w:tcPr>
          <w:p w14:paraId="04B8C04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4"/>
            <w:tcBorders>
              <w:tl2br w:val="nil"/>
              <w:tr2bl w:val="nil"/>
            </w:tcBorders>
            <w:vAlign w:val="center"/>
          </w:tcPr>
          <w:p w14:paraId="06FC5C4D">
            <w:pPr>
              <w:spacing w:line="260" w:lineRule="exact"/>
              <w:rPr>
                <w:rFonts w:ascii="方正仿宋_GB2312" w:hAnsi="仿宋"/>
                <w:color w:val="000000"/>
                <w:szCs w:val="21"/>
              </w:rPr>
            </w:pPr>
            <w:r>
              <w:rPr>
                <w:rFonts w:hint="eastAsia" w:ascii="仿宋" w:hAnsi="仿宋" w:eastAsia="仿宋" w:cs="仿宋"/>
                <w:color w:val="000000"/>
                <w:sz w:val="21"/>
                <w:szCs w:val="15"/>
              </w:rPr>
              <w:t xml:space="preserve"> </w:t>
            </w:r>
            <w:r>
              <w:rPr>
                <w:rFonts w:ascii="仿宋" w:hAnsi="仿宋" w:eastAsia="仿宋" w:cs="仿宋"/>
                <w:color w:val="000000"/>
                <w:sz w:val="21"/>
                <w:szCs w:val="15"/>
              </w:rPr>
              <w:t xml:space="preserve">  </w:t>
            </w:r>
            <w:r>
              <w:rPr>
                <w:rFonts w:hint="eastAsia" w:ascii="仿宋" w:hAnsi="仿宋" w:eastAsia="仿宋" w:cs="仿宋"/>
                <w:color w:val="000000"/>
                <w:sz w:val="24"/>
                <w:szCs w:val="24"/>
              </w:rPr>
              <w:t xml:space="preserve"> 兵团卫视频道</w:t>
            </w:r>
          </w:p>
        </w:tc>
        <w:tc>
          <w:tcPr>
            <w:tcW w:w="872" w:type="dxa"/>
            <w:gridSpan w:val="2"/>
            <w:tcBorders>
              <w:tl2br w:val="nil"/>
              <w:tr2bl w:val="nil"/>
            </w:tcBorders>
            <w:vAlign w:val="center"/>
          </w:tcPr>
          <w:p w14:paraId="1A6D9E8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6"/>
            <w:tcBorders>
              <w:tl2br w:val="nil"/>
              <w:tr2bl w:val="nil"/>
            </w:tcBorders>
            <w:vAlign w:val="center"/>
          </w:tcPr>
          <w:p w14:paraId="32E6C7C4">
            <w:pPr>
              <w:spacing w:line="260" w:lineRule="exact"/>
              <w:rPr>
                <w:rFonts w:hint="eastAsia" w:ascii="仿宋" w:hAnsi="仿宋" w:eastAsia="仿宋" w:cs="仿宋"/>
                <w:color w:val="000000"/>
                <w:sz w:val="24"/>
                <w:szCs w:val="24"/>
              </w:rPr>
            </w:pPr>
            <w:r>
              <w:rPr>
                <w:rFonts w:hint="eastAsia" w:ascii="仿宋" w:hAnsi="仿宋" w:eastAsia="仿宋" w:cs="仿宋"/>
                <w:color w:val="000000"/>
                <w:sz w:val="24"/>
                <w:szCs w:val="24"/>
              </w:rPr>
              <w:t>2025年6月5日— 6月10日</w:t>
            </w:r>
          </w:p>
          <w:p w14:paraId="7A66C554">
            <w:pPr>
              <w:spacing w:line="260" w:lineRule="exact"/>
              <w:rPr>
                <w:rFonts w:ascii="仿宋" w:hAnsi="仿宋" w:eastAsia="仿宋" w:cs="仿宋"/>
                <w:color w:val="000000"/>
                <w:sz w:val="21"/>
                <w:szCs w:val="15"/>
              </w:rPr>
            </w:pPr>
            <w:r>
              <w:rPr>
                <w:rFonts w:hint="eastAsia" w:ascii="仿宋" w:hAnsi="仿宋" w:eastAsia="仿宋" w:cs="仿宋"/>
                <w:color w:val="000000"/>
                <w:sz w:val="24"/>
                <w:szCs w:val="24"/>
              </w:rPr>
              <w:t>14:00—14:30首播，21:30—22:00重播</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633" w:type="dxa"/>
            <w:gridSpan w:val="2"/>
            <w:tcBorders>
              <w:tl2br w:val="nil"/>
              <w:tr2bl w:val="nil"/>
            </w:tcBorders>
            <w:vAlign w:val="center"/>
          </w:tcPr>
          <w:p w14:paraId="2FC99FA4">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32F6A552">
            <w:pPr>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7"/>
            <w:tcBorders>
              <w:tl2br w:val="nil"/>
              <w:tr2bl w:val="nil"/>
            </w:tcBorders>
            <w:vAlign w:val="center"/>
          </w:tcPr>
          <w:p w14:paraId="78E7ED31">
            <w:pPr>
              <w:spacing w:line="260" w:lineRule="exact"/>
              <w:rPr>
                <w:rFonts w:ascii="华文中宋" w:hAnsi="华文中宋" w:eastAsia="华文中宋"/>
                <w:color w:val="000000"/>
                <w:sz w:val="28"/>
              </w:rPr>
            </w:pPr>
            <w:r>
              <w:rPr>
                <w:rFonts w:hint="eastAsia" w:ascii="仿宋" w:hAnsi="仿宋" w:eastAsia="仿宋" w:cs="仿宋"/>
                <w:color w:val="000000"/>
                <w:sz w:val="21"/>
                <w:szCs w:val="15"/>
              </w:rPr>
              <w:t xml:space="preserve"> </w:t>
            </w:r>
          </w:p>
        </w:tc>
        <w:tc>
          <w:tcPr>
            <w:tcW w:w="1742" w:type="dxa"/>
            <w:gridSpan w:val="3"/>
            <w:tcBorders>
              <w:tl2br w:val="nil"/>
              <w:tr2bl w:val="nil"/>
            </w:tcBorders>
            <w:vAlign w:val="center"/>
          </w:tcPr>
          <w:p w14:paraId="79A0CB2B">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gridSpan w:val="2"/>
            <w:tcBorders>
              <w:tl2br w:val="nil"/>
              <w:tr2bl w:val="nil"/>
            </w:tcBorders>
            <w:vAlign w:val="center"/>
          </w:tcPr>
          <w:p w14:paraId="3B30F695">
            <w:pPr>
              <w:spacing w:line="260" w:lineRule="exact"/>
              <w:ind w:firstLine="210" w:firstLineChars="100"/>
              <w:rPr>
                <w:rFonts w:ascii="华文中宋" w:hAnsi="华文中宋" w:eastAsia="华文中宋"/>
                <w:color w:val="000000"/>
                <w:sz w:val="28"/>
              </w:rPr>
            </w:pPr>
            <w:r>
              <w:rPr>
                <w:rFonts w:ascii="仿宋" w:hAnsi="仿宋" w:eastAsia="仿宋" w:cs="仿宋"/>
                <w:color w:val="000000"/>
                <w:sz w:val="21"/>
                <w:szCs w:val="15"/>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21" w:type="dxa"/>
            <w:tcBorders>
              <w:tl2br w:val="nil"/>
              <w:tr2bl w:val="nil"/>
            </w:tcBorders>
            <w:vAlign w:val="center"/>
          </w:tcPr>
          <w:p w14:paraId="3869C97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4D61922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33317C9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55AC629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13"/>
            <w:tcBorders>
              <w:tl2br w:val="nil"/>
              <w:tr2bl w:val="nil"/>
            </w:tcBorders>
            <w:vAlign w:val="center"/>
          </w:tcPr>
          <w:p w14:paraId="755233F1">
            <w:pPr>
              <w:spacing w:line="260" w:lineRule="exact"/>
              <w:ind w:firstLine="480" w:firstLineChars="200"/>
              <w:rPr>
                <w:rFonts w:ascii="仿宋" w:hAnsi="仿宋" w:eastAsia="仿宋" w:cs="仿宋"/>
                <w:color w:val="000000"/>
                <w:sz w:val="21"/>
                <w:szCs w:val="15"/>
              </w:rPr>
            </w:pPr>
            <w:r>
              <w:rPr>
                <w:rFonts w:hint="eastAsia" w:ascii="仿宋" w:hAnsi="仿宋" w:eastAsia="仿宋" w:cs="仿宋"/>
                <w:color w:val="000000"/>
                <w:sz w:val="24"/>
                <w:szCs w:val="24"/>
              </w:rPr>
              <w:t>2025年是习近平总书记考察巴彦淖尔并主持召开加强荒漠化综合防治座谈会两周年、新疆维吾尔自治区成立70周年，兵团广播电视台历时七个月，策划、制作、推出六集特别节目《战沙海筑绿色长城》，通过“绿色启航—兵团治沙的初心与使命”“锁边行动—兵地共筑塔克拉玛干沙漠边缘绿色防线”“科技引领—书写治沙新篇章”“生态经济—荒漠生金之路”“人文之美—兵团精神传承”“绿色未来—兵团治沙的展望与愿景”6个主题，讲述了兵团人七十余载“从沙荒拓绿到戈壁成荫” 的接续奋斗故事，展现国家治沙战略中可复制推广的兵团治理模式。为达到全景、真实、立体、深入的呈现效果，记者深入环塔克拉玛干沙漠沿线的兵团团场，走进治沙一线，挖掘鲜活实践，聆听典型故事，见证绿色传奇，同时，还采访了大量专家学者，系统记录防沙、治沙、用沙的全链条实践。</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68" w:hRule="exact"/>
        </w:trPr>
        <w:tc>
          <w:tcPr>
            <w:tcW w:w="1121" w:type="dxa"/>
            <w:vMerge w:val="restart"/>
            <w:tcBorders>
              <w:tl2br w:val="nil"/>
              <w:tr2bl w:val="nil"/>
            </w:tcBorders>
            <w:vAlign w:val="center"/>
          </w:tcPr>
          <w:p w14:paraId="7BFC70BA">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0F6B8EA2">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1A867DF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0EFA37B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2"/>
            <w:tcBorders>
              <w:tl2br w:val="nil"/>
              <w:tr2bl w:val="nil"/>
            </w:tcBorders>
            <w:vAlign w:val="center"/>
          </w:tcPr>
          <w:p w14:paraId="0B930050">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436EEDCF">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11"/>
            <w:tcBorders>
              <w:tl2br w:val="nil"/>
              <w:tr2bl w:val="nil"/>
            </w:tcBorders>
            <w:vAlign w:val="center"/>
          </w:tcPr>
          <w:p w14:paraId="66882B65">
            <w:pPr>
              <w:spacing w:line="260" w:lineRule="exact"/>
              <w:ind w:firstLine="420" w:firstLineChars="200"/>
              <w:rPr>
                <w:rFonts w:hint="eastAsia" w:ascii="仿宋" w:hAnsi="仿宋" w:eastAsia="仿宋" w:cs="仿宋"/>
                <w:color w:val="000000"/>
                <w:sz w:val="24"/>
                <w:szCs w:val="24"/>
              </w:rPr>
            </w:pPr>
            <w:r>
              <w:rPr>
                <w:rFonts w:hint="eastAsia" w:ascii="仿宋" w:hAnsi="仿宋" w:eastAsia="仿宋" w:cs="仿宋"/>
                <w:color w:val="000000"/>
                <w:sz w:val="21"/>
                <w:szCs w:val="15"/>
              </w:rPr>
              <w:t>“</w:t>
            </w:r>
            <w:r>
              <w:rPr>
                <w:rFonts w:hint="eastAsia" w:ascii="仿宋" w:hAnsi="仿宋" w:eastAsia="仿宋" w:cs="仿宋"/>
                <w:color w:val="000000"/>
                <w:sz w:val="24"/>
                <w:szCs w:val="24"/>
              </w:rPr>
              <w:t>战沙海筑绿色长城”特别节目：</w:t>
            </w:r>
          </w:p>
          <w:p w14:paraId="10F5AABE">
            <w:pPr>
              <w:spacing w:line="26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第一集：https://weibo.com/3767561485/Pv7F27HAL</w:t>
            </w:r>
          </w:p>
          <w:p w14:paraId="3BA407D3">
            <w:pPr>
              <w:spacing w:line="26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第二集：https://weibo.com/3767561485/Pvh5x7y2e</w:t>
            </w:r>
          </w:p>
          <w:p w14:paraId="1ECD0A76">
            <w:pPr>
              <w:spacing w:line="26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第三集：https://weibo.com/3767561485/Pvqw1CmtQ</w:t>
            </w:r>
          </w:p>
          <w:p w14:paraId="3B171E6B">
            <w:pPr>
              <w:spacing w:line="26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第四集：https://weibo.com/3767561485/PvzWwmNn4</w:t>
            </w:r>
          </w:p>
          <w:p w14:paraId="00F6C8A4">
            <w:pPr>
              <w:spacing w:line="26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第五集：https://weibo.com/3767561485/PvJn1lyvt</w:t>
            </w:r>
          </w:p>
          <w:p w14:paraId="10EAC8E2">
            <w:pPr>
              <w:spacing w:line="260" w:lineRule="exact"/>
              <w:ind w:firstLine="480" w:firstLineChars="200"/>
              <w:rPr>
                <w:rFonts w:ascii="仿宋" w:hAnsi="仿宋" w:eastAsia="仿宋" w:cs="仿宋"/>
                <w:color w:val="000000"/>
                <w:sz w:val="21"/>
                <w:szCs w:val="15"/>
              </w:rPr>
            </w:pPr>
            <w:r>
              <w:rPr>
                <w:rFonts w:hint="eastAsia" w:ascii="仿宋" w:hAnsi="仿宋" w:eastAsia="仿宋" w:cs="仿宋"/>
                <w:color w:val="000000"/>
                <w:sz w:val="24"/>
                <w:szCs w:val="24"/>
              </w:rPr>
              <w:t>第六集：https://weibo.com/3767561485/PvSNwbu3Y</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1121" w:type="dxa"/>
            <w:vMerge w:val="continue"/>
            <w:tcBorders>
              <w:tl2br w:val="nil"/>
              <w:tr2bl w:val="nil"/>
            </w:tcBorders>
            <w:vAlign w:val="center"/>
          </w:tcPr>
          <w:p w14:paraId="40CAB92D">
            <w:pPr>
              <w:spacing w:line="320" w:lineRule="exact"/>
              <w:jc w:val="center"/>
              <w:rPr>
                <w:rFonts w:ascii="华文中宋" w:hAnsi="华文中宋" w:eastAsia="华文中宋"/>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CD586AA">
            <w:pPr>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tcBorders>
              <w:tl2br w:val="nil"/>
              <w:tr2bl w:val="nil"/>
            </w:tcBorders>
            <w:shd w:val="clear" w:color="auto" w:fill="auto"/>
            <w:vAlign w:val="center"/>
          </w:tcPr>
          <w:p w14:paraId="769BF1DC">
            <w:pPr>
              <w:spacing w:line="240" w:lineRule="exact"/>
              <w:rPr>
                <w:rFonts w:ascii="仿宋" w:hAnsi="仿宋" w:eastAsia="仿宋"/>
                <w:color w:val="000000"/>
                <w:sz w:val="21"/>
                <w:szCs w:val="21"/>
              </w:rPr>
            </w:pPr>
            <w:r>
              <w:rPr>
                <w:rFonts w:hint="eastAsia" w:ascii="仿宋" w:hAnsi="仿宋" w:eastAsia="仿宋"/>
                <w:color w:val="000000"/>
                <w:sz w:val="21"/>
                <w:szCs w:val="21"/>
              </w:rPr>
              <w:t>2</w:t>
            </w:r>
            <w:r>
              <w:rPr>
                <w:rFonts w:ascii="仿宋" w:hAnsi="仿宋" w:eastAsia="仿宋"/>
                <w:color w:val="000000"/>
                <w:sz w:val="21"/>
                <w:szCs w:val="21"/>
              </w:rPr>
              <w:t>000万</w:t>
            </w:r>
          </w:p>
        </w:tc>
        <w:tc>
          <w:tcPr>
            <w:tcW w:w="1005" w:type="dxa"/>
            <w:gridSpan w:val="2"/>
            <w:tcBorders>
              <w:tl2br w:val="nil"/>
              <w:tr2bl w:val="nil"/>
            </w:tcBorders>
            <w:shd w:val="clear" w:color="auto" w:fill="auto"/>
            <w:vAlign w:val="center"/>
          </w:tcPr>
          <w:p w14:paraId="40B3F7F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579A7769">
            <w:pPr>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5"/>
            <w:tcBorders>
              <w:tl2br w:val="nil"/>
              <w:tr2bl w:val="nil"/>
            </w:tcBorders>
            <w:vAlign w:val="center"/>
          </w:tcPr>
          <w:p w14:paraId="5BE3E5F6">
            <w:pPr>
              <w:spacing w:line="240" w:lineRule="exact"/>
              <w:rPr>
                <w:rFonts w:ascii="仿宋" w:hAnsi="仿宋" w:eastAsia="仿宋"/>
                <w:color w:val="000000"/>
                <w:sz w:val="21"/>
                <w:szCs w:val="21"/>
              </w:rPr>
            </w:pPr>
            <w:r>
              <w:rPr>
                <w:rFonts w:hint="eastAsia" w:ascii="仿宋" w:hAnsi="仿宋" w:eastAsia="仿宋"/>
                <w:color w:val="000000"/>
                <w:sz w:val="21"/>
                <w:szCs w:val="21"/>
              </w:rPr>
              <w:t>1</w:t>
            </w:r>
            <w:r>
              <w:rPr>
                <w:rFonts w:ascii="仿宋" w:hAnsi="仿宋" w:eastAsia="仿宋"/>
                <w:color w:val="000000"/>
                <w:sz w:val="21"/>
                <w:szCs w:val="21"/>
              </w:rPr>
              <w:t>8000</w:t>
            </w:r>
          </w:p>
        </w:tc>
        <w:tc>
          <w:tcPr>
            <w:tcW w:w="1122" w:type="dxa"/>
            <w:tcBorders>
              <w:tl2br w:val="nil"/>
              <w:tr2bl w:val="nil"/>
            </w:tcBorders>
            <w:vAlign w:val="center"/>
          </w:tcPr>
          <w:p w14:paraId="50FA0102">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gridSpan w:val="2"/>
            <w:tcBorders>
              <w:tl2br w:val="nil"/>
              <w:tr2bl w:val="nil"/>
            </w:tcBorders>
            <w:vAlign w:val="center"/>
          </w:tcPr>
          <w:p w14:paraId="03DD5D6F">
            <w:pPr>
              <w:spacing w:line="240" w:lineRule="exact"/>
              <w:rPr>
                <w:rFonts w:ascii="仿宋" w:hAnsi="仿宋" w:eastAsia="仿宋"/>
                <w:color w:val="000000"/>
                <w:sz w:val="21"/>
                <w:szCs w:val="21"/>
              </w:rPr>
            </w:pPr>
            <w:r>
              <w:rPr>
                <w:rFonts w:hint="eastAsia" w:ascii="仿宋" w:hAnsi="仿宋" w:eastAsia="仿宋"/>
                <w:color w:val="000000"/>
                <w:sz w:val="21"/>
                <w:szCs w:val="21"/>
              </w:rPr>
              <w:t>3</w:t>
            </w:r>
            <w:r>
              <w:rPr>
                <w:rFonts w:ascii="仿宋" w:hAnsi="仿宋" w:eastAsia="仿宋"/>
                <w:color w:val="000000"/>
                <w:sz w:val="21"/>
                <w:szCs w:val="21"/>
              </w:rPr>
              <w:t>200万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4" w:hRule="exact"/>
        </w:trPr>
        <w:tc>
          <w:tcPr>
            <w:tcW w:w="1121" w:type="dxa"/>
            <w:tcBorders>
              <w:tl2br w:val="nil"/>
              <w:tr2bl w:val="nil"/>
            </w:tcBorders>
            <w:vAlign w:val="center"/>
          </w:tcPr>
          <w:p w14:paraId="7C530D91">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0360EC6">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5BBAAD6">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F394BD1">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13"/>
            <w:tcBorders>
              <w:tl2br w:val="nil"/>
              <w:tr2bl w:val="nil"/>
            </w:tcBorders>
            <w:vAlign w:val="center"/>
          </w:tcPr>
          <w:p w14:paraId="554F960A">
            <w:pPr>
              <w:spacing w:line="260" w:lineRule="exact"/>
              <w:ind w:firstLine="480" w:firstLineChars="200"/>
              <w:rPr>
                <w:rFonts w:hint="eastAsia" w:ascii="仿宋" w:hAnsi="仿宋" w:eastAsia="仿宋" w:cs="仿宋"/>
                <w:color w:val="000000"/>
                <w:sz w:val="24"/>
                <w:szCs w:val="24"/>
              </w:rPr>
            </w:pPr>
          </w:p>
          <w:p w14:paraId="1FE495BA">
            <w:pPr>
              <w:spacing w:line="26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特别节目《战沙海筑绿色长城》紧扣时代主题，将兵团防沙治沙用沙实践与国家生态文明战略深度结合，向自治区成立 70 周年献礼，向世界环境日致敬，更是对习近平总书记重要讲话精神的积极响应，是在重要时间节点践行媒体使命、体现媒体担当的生动实践。六集特别节目《战沙海筑绿色长城》得到新华客户端等中央媒体、大河网、大象财富、洛阳晚报等20家省级媒体广泛转载，52个网络大V微博账号转发，兵团14个师市融媒体中心推发。全网总阅读量达3200万+。微博话题“新疆兵团在风沙线上书写绿色奇迹”登上乌鲁木齐同城热搜榜首位。据中国视听大数据（CVB）显示，兵团卫视在新疆地区同时段34家地方卫视收视排名第7位。</w:t>
            </w:r>
          </w:p>
          <w:p w14:paraId="31875D0E">
            <w:pPr>
              <w:rPr>
                <w:rFonts w:ascii="仿宋" w:hAnsi="仿宋" w:eastAsia="仿宋" w:cs="仿宋"/>
                <w:color w:val="000000"/>
                <w:sz w:val="21"/>
                <w:szCs w:val="15"/>
              </w:rPr>
            </w:pPr>
            <w:r>
              <w:rPr>
                <w:rFonts w:hint="eastAsia" w:ascii="仿宋" w:hAnsi="仿宋" w:eastAsia="仿宋" w:cs="仿宋"/>
                <w:color w:val="000000"/>
                <w:sz w:val="21"/>
                <w:szCs w:val="15"/>
              </w:rPr>
              <w:t xml:space="preserve">                      </w:t>
            </w:r>
          </w:p>
          <w:p w14:paraId="3109BF00">
            <w:pPr>
              <w:spacing w:line="360" w:lineRule="exact"/>
              <w:rPr>
                <w:rFonts w:hint="eastAsia" w:ascii="华文中宋" w:hAnsi="华文中宋" w:eastAsia="华文中宋"/>
                <w:color w:val="000000"/>
                <w:spacing w:val="-2"/>
                <w:sz w:val="28"/>
              </w:rPr>
            </w:pPr>
            <w:r>
              <w:rPr>
                <w:rFonts w:hint="eastAsia" w:ascii="仿宋" w:hAnsi="仿宋" w:eastAsia="仿宋" w:cs="仿宋"/>
                <w:color w:val="000000"/>
                <w:sz w:val="21"/>
                <w:szCs w:val="15"/>
              </w:rPr>
              <w:t xml:space="preserve">                         </w:t>
            </w:r>
            <w:r>
              <w:rPr>
                <w:rFonts w:hint="eastAsia" w:ascii="华文中宋" w:hAnsi="华文中宋" w:eastAsia="华文中宋"/>
                <w:color w:val="000000"/>
                <w:spacing w:val="-2"/>
                <w:sz w:val="28"/>
              </w:rPr>
              <w:t xml:space="preserve">  签名（盖单位公章）：</w:t>
            </w:r>
          </w:p>
          <w:p w14:paraId="507B2E69">
            <w:pPr>
              <w:spacing w:line="36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63A6C0E4">
            <w:pPr>
              <w:spacing w:line="360" w:lineRule="exact"/>
              <w:rPr>
                <w:rFonts w:hint="eastAsia" w:ascii="华文中宋" w:hAnsi="华文中宋" w:eastAsia="华文中宋"/>
                <w:color w:val="000000"/>
                <w:spacing w:val="-2"/>
                <w:sz w:val="28"/>
              </w:rPr>
            </w:pPr>
          </w:p>
          <w:p w14:paraId="5DF11F77">
            <w:pPr>
              <w:spacing w:line="360" w:lineRule="exact"/>
              <w:ind w:firstLine="5520" w:firstLineChars="2000"/>
              <w:rPr>
                <w:rFonts w:ascii="仿宋" w:hAnsi="仿宋" w:eastAsia="仿宋" w:cs="仿宋"/>
                <w:color w:val="000000"/>
                <w:sz w:val="21"/>
                <w:szCs w:val="15"/>
              </w:rPr>
            </w:pPr>
            <w:r>
              <w:rPr>
                <w:rFonts w:hint="eastAsia" w:ascii="华文中宋" w:hAnsi="华文中宋" w:eastAsia="华文中宋"/>
                <w:color w:val="000000"/>
                <w:spacing w:val="-2"/>
                <w:sz w:val="28"/>
              </w:rPr>
              <w:t xml:space="preserve">年  </w:t>
            </w:r>
            <w:r>
              <w:rPr>
                <w:rFonts w:hint="eastAsia" w:ascii="华文中宋" w:hAnsi="华文中宋" w:eastAsia="华文中宋"/>
                <w:color w:val="000000"/>
                <w:spacing w:val="-2"/>
                <w:sz w:val="28"/>
                <w:lang w:val="en-US" w:eastAsia="zh-CN"/>
              </w:rPr>
              <w:t xml:space="preserve"> </w:t>
            </w:r>
            <w:bookmarkStart w:id="0" w:name="_GoBack"/>
            <w:bookmarkEnd w:id="0"/>
            <w:r>
              <w:rPr>
                <w:rFonts w:hint="eastAsia" w:ascii="华文中宋" w:hAnsi="华文中宋" w:eastAsia="华文中宋"/>
                <w:color w:val="000000"/>
                <w:spacing w:val="-2"/>
                <w:sz w:val="28"/>
              </w:rPr>
              <w:t xml:space="preserve">月 </w:t>
            </w:r>
            <w:r>
              <w:rPr>
                <w:rFonts w:hint="eastAsia" w:ascii="华文中宋" w:hAnsi="华文中宋" w:eastAsia="华文中宋"/>
                <w:color w:val="000000"/>
                <w:spacing w:val="-2"/>
                <w:sz w:val="28"/>
                <w:lang w:val="en-US" w:eastAsia="zh-CN"/>
              </w:rPr>
              <w:t xml:space="preserve">  </w:t>
            </w:r>
            <w:r>
              <w:rPr>
                <w:rFonts w:hint="eastAsia" w:ascii="华文中宋" w:hAnsi="华文中宋" w:eastAsia="华文中宋"/>
                <w:color w:val="000000"/>
                <w:spacing w:val="-2"/>
                <w:sz w:val="28"/>
              </w:rPr>
              <w:t xml:space="preserve"> 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jc w:val="center"/>
        </w:trPr>
        <w:tc>
          <w:tcPr>
            <w:tcW w:w="1121" w:type="dxa"/>
            <w:tcBorders>
              <w:bottom w:val="single" w:color="auto" w:sz="4" w:space="0"/>
              <w:right w:val="single" w:color="auto" w:sz="4" w:space="0"/>
              <w:tl2br w:val="nil"/>
              <w:tr2bl w:val="nil"/>
            </w:tcBorders>
            <w:vAlign w:val="center"/>
          </w:tcPr>
          <w:p w14:paraId="427B2E60">
            <w:pPr>
              <w:spacing w:line="360" w:lineRule="exact"/>
              <w:jc w:val="center"/>
              <w:rPr>
                <w:rFonts w:ascii="华文中宋" w:hAnsi="华文中宋" w:eastAsia="华文中宋"/>
                <w:sz w:val="28"/>
                <w:szCs w:val="28"/>
              </w:rPr>
            </w:pPr>
            <w:r>
              <w:rPr>
                <w:rFonts w:ascii="华文中宋" w:hAnsi="华文中宋" w:eastAsia="华文中宋"/>
                <w:sz w:val="28"/>
                <w:szCs w:val="28"/>
              </w:rPr>
              <w:t>联系人</w:t>
            </w:r>
          </w:p>
        </w:tc>
        <w:tc>
          <w:tcPr>
            <w:tcW w:w="3018" w:type="dxa"/>
            <w:gridSpan w:val="4"/>
            <w:tcBorders>
              <w:left w:val="single" w:color="auto" w:sz="4" w:space="0"/>
              <w:bottom w:val="single" w:color="auto" w:sz="4" w:space="0"/>
              <w:right w:val="single" w:color="auto" w:sz="4" w:space="0"/>
              <w:tl2br w:val="nil"/>
              <w:tr2bl w:val="nil"/>
            </w:tcBorders>
            <w:vAlign w:val="center"/>
          </w:tcPr>
          <w:p w14:paraId="6C0E501B">
            <w:pPr>
              <w:spacing w:line="240" w:lineRule="exact"/>
              <w:ind w:firstLine="560" w:firstLineChars="200"/>
              <w:rPr>
                <w:rFonts w:ascii="华文中宋" w:hAnsi="华文中宋" w:eastAsia="华文中宋"/>
                <w:sz w:val="28"/>
                <w:szCs w:val="28"/>
              </w:rPr>
            </w:pPr>
          </w:p>
        </w:tc>
        <w:tc>
          <w:tcPr>
            <w:tcW w:w="1230" w:type="dxa"/>
            <w:gridSpan w:val="2"/>
            <w:tcBorders>
              <w:left w:val="single" w:color="auto" w:sz="4" w:space="0"/>
              <w:bottom w:val="single" w:color="auto" w:sz="4" w:space="0"/>
              <w:right w:val="single" w:color="auto" w:sz="4" w:space="0"/>
              <w:tl2br w:val="nil"/>
              <w:tr2bl w:val="nil"/>
            </w:tcBorders>
            <w:vAlign w:val="center"/>
          </w:tcPr>
          <w:p w14:paraId="0A1D0073">
            <w:pPr>
              <w:spacing w:line="360" w:lineRule="exact"/>
              <w:jc w:val="center"/>
              <w:rPr>
                <w:rFonts w:ascii="华文中宋" w:hAnsi="华文中宋" w:eastAsia="华文中宋"/>
                <w:sz w:val="28"/>
                <w:szCs w:val="28"/>
              </w:rPr>
            </w:pPr>
            <w:r>
              <w:rPr>
                <w:rFonts w:ascii="华文中宋" w:hAnsi="华文中宋" w:eastAsia="华文中宋"/>
                <w:sz w:val="28"/>
                <w:szCs w:val="28"/>
              </w:rPr>
              <w:t>电话</w:t>
            </w:r>
          </w:p>
        </w:tc>
        <w:tc>
          <w:tcPr>
            <w:tcW w:w="1616" w:type="dxa"/>
            <w:gridSpan w:val="3"/>
            <w:tcBorders>
              <w:left w:val="single" w:color="auto" w:sz="4" w:space="0"/>
              <w:bottom w:val="single" w:color="auto" w:sz="4" w:space="0"/>
              <w:right w:val="single" w:color="auto" w:sz="4" w:space="0"/>
              <w:tl2br w:val="nil"/>
              <w:tr2bl w:val="nil"/>
            </w:tcBorders>
            <w:vAlign w:val="center"/>
          </w:tcPr>
          <w:p w14:paraId="6F807C11">
            <w:pPr>
              <w:spacing w:line="360" w:lineRule="exact"/>
              <w:jc w:val="center"/>
              <w:rPr>
                <w:rFonts w:ascii="华文中宋" w:hAnsi="华文中宋" w:eastAsia="华文中宋"/>
                <w:sz w:val="28"/>
                <w:szCs w:val="28"/>
              </w:rPr>
            </w:pPr>
          </w:p>
        </w:tc>
        <w:tc>
          <w:tcPr>
            <w:tcW w:w="1804" w:type="dxa"/>
            <w:gridSpan w:val="3"/>
            <w:tcBorders>
              <w:left w:val="single" w:color="auto" w:sz="4" w:space="0"/>
              <w:bottom w:val="single" w:color="auto" w:sz="4" w:space="0"/>
              <w:right w:val="single" w:color="auto" w:sz="4" w:space="0"/>
              <w:tl2br w:val="nil"/>
              <w:tr2bl w:val="nil"/>
            </w:tcBorders>
            <w:vAlign w:val="center"/>
          </w:tcPr>
          <w:p w14:paraId="2376CD66">
            <w:pPr>
              <w:spacing w:line="360" w:lineRule="exact"/>
              <w:jc w:val="center"/>
              <w:rPr>
                <w:rFonts w:ascii="华文中宋" w:hAnsi="华文中宋" w:eastAsia="华文中宋"/>
                <w:sz w:val="28"/>
                <w:szCs w:val="28"/>
              </w:rPr>
            </w:pPr>
            <w:r>
              <w:rPr>
                <w:rFonts w:ascii="华文中宋" w:hAnsi="华文中宋" w:eastAsia="华文中宋"/>
                <w:sz w:val="28"/>
                <w:szCs w:val="28"/>
              </w:rPr>
              <w:t>手机</w:t>
            </w:r>
          </w:p>
        </w:tc>
        <w:tc>
          <w:tcPr>
            <w:tcW w:w="1153" w:type="dxa"/>
            <w:tcBorders>
              <w:left w:val="single" w:color="auto" w:sz="4" w:space="0"/>
              <w:bottom w:val="single" w:color="auto" w:sz="4" w:space="0"/>
              <w:tl2br w:val="nil"/>
              <w:tr2bl w:val="nil"/>
            </w:tcBorders>
            <w:vAlign w:val="center"/>
          </w:tcPr>
          <w:p w14:paraId="57537484">
            <w:pPr>
              <w:spacing w:line="360" w:lineRule="exact"/>
              <w:jc w:val="center"/>
              <w:rPr>
                <w:rFonts w:ascii="华文中宋" w:hAnsi="华文中宋" w:eastAsia="华文中宋"/>
                <w:sz w:val="28"/>
                <w:szCs w:val="28"/>
              </w:rPr>
            </w:pPr>
          </w:p>
        </w:tc>
      </w:tr>
    </w:tbl>
    <w:p w14:paraId="30942D31">
      <w:r>
        <w:rPr>
          <w:rFonts w:hint="eastAsia" w:ascii="楷体" w:hAnsi="楷体" w:eastAsia="楷体"/>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09AF7E62-C204-4403-BAD0-8CB3AC8BF395}"/>
  </w:font>
  <w:font w:name="方正仿宋_GB2312">
    <w:panose1 w:val="02000000000000000000"/>
    <w:charset w:val="86"/>
    <w:family w:val="auto"/>
    <w:pitch w:val="default"/>
    <w:sig w:usb0="A00002BF" w:usb1="184F6CFA" w:usb2="00000012" w:usb3="00000000" w:csb0="00040001" w:csb1="00000000"/>
    <w:embedRegular r:id="rId2" w:fontKey="{73EC5F11-D72B-4497-9E93-44AD10E6D908}"/>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3" w:fontKey="{089F5278-1449-43D2-BFEA-B4C63CCA27C1}"/>
  </w:font>
  <w:font w:name="仿宋">
    <w:panose1 w:val="02010609060101010101"/>
    <w:charset w:val="86"/>
    <w:family w:val="modern"/>
    <w:pitch w:val="default"/>
    <w:sig w:usb0="800002BF" w:usb1="38CF7CFA" w:usb2="00000016" w:usb3="00000000" w:csb0="00040001" w:csb1="00000000"/>
    <w:embedRegular r:id="rId4" w:fontKey="{E3EA99D6-C068-40D5-9559-A22047E03A79}"/>
  </w:font>
  <w:font w:name="楷体">
    <w:panose1 w:val="02010609060101010101"/>
    <w:charset w:val="86"/>
    <w:family w:val="modern"/>
    <w:pitch w:val="default"/>
    <w:sig w:usb0="800002BF" w:usb1="38CF7CFA" w:usb2="00000016" w:usb3="00000000" w:csb0="00040001" w:csb1="00000000"/>
    <w:embedRegular r:id="rId5" w:fontKey="{0B92C67A-5475-4A2A-915A-AB26486F2B37}"/>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E38"/>
    <w:rsid w:val="000068D9"/>
    <w:rsid w:val="00011DEC"/>
    <w:rsid w:val="000C61E9"/>
    <w:rsid w:val="000E6728"/>
    <w:rsid w:val="001753B7"/>
    <w:rsid w:val="00180E38"/>
    <w:rsid w:val="0018163C"/>
    <w:rsid w:val="002A547A"/>
    <w:rsid w:val="00321C10"/>
    <w:rsid w:val="00390B76"/>
    <w:rsid w:val="003C0141"/>
    <w:rsid w:val="004A2786"/>
    <w:rsid w:val="004D53DA"/>
    <w:rsid w:val="005D7F89"/>
    <w:rsid w:val="005F6A25"/>
    <w:rsid w:val="00635B50"/>
    <w:rsid w:val="00705B40"/>
    <w:rsid w:val="0076190B"/>
    <w:rsid w:val="00795E86"/>
    <w:rsid w:val="00846061"/>
    <w:rsid w:val="00876CFE"/>
    <w:rsid w:val="008D3223"/>
    <w:rsid w:val="00921294"/>
    <w:rsid w:val="009C3BA6"/>
    <w:rsid w:val="009E3E7D"/>
    <w:rsid w:val="00A46C51"/>
    <w:rsid w:val="00A829E6"/>
    <w:rsid w:val="00AD778B"/>
    <w:rsid w:val="00B26D39"/>
    <w:rsid w:val="00C4748E"/>
    <w:rsid w:val="00CC0405"/>
    <w:rsid w:val="00D87881"/>
    <w:rsid w:val="00DB265B"/>
    <w:rsid w:val="00DE4091"/>
    <w:rsid w:val="00E7276B"/>
    <w:rsid w:val="00E77FC8"/>
    <w:rsid w:val="00F611E4"/>
    <w:rsid w:val="00FA6E47"/>
    <w:rsid w:val="00FE5DFB"/>
    <w:rsid w:val="103E4A53"/>
    <w:rsid w:val="291819B2"/>
    <w:rsid w:val="33363900"/>
    <w:rsid w:val="47AE6C50"/>
    <w:rsid w:val="47D42FB0"/>
    <w:rsid w:val="4CA94913"/>
    <w:rsid w:val="5D250E1A"/>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kinsoku w:val="0"/>
      <w:autoSpaceDE w:val="0"/>
      <w:autoSpaceDN w:val="0"/>
      <w:adjustRightInd w:val="0"/>
      <w:snapToGrid w:val="0"/>
      <w:spacing w:beforeAutospacing="1" w:afterAutospacing="1"/>
      <w:jc w:val="left"/>
      <w:textAlignment w:val="baseline"/>
    </w:pPr>
    <w:rPr>
      <w:rFonts w:ascii="Arial" w:hAnsi="Arial" w:eastAsia="Arial" w:cs="Times New Roman"/>
      <w:snapToGrid w:val="0"/>
      <w:color w:val="000000"/>
      <w:kern w:val="0"/>
      <w:sz w:val="24"/>
      <w:szCs w:val="21"/>
    </w:rPr>
  </w:style>
  <w:style w:type="character" w:customStyle="1" w:styleId="8">
    <w:name w:val="页脚 Char"/>
    <w:basedOn w:val="7"/>
    <w:link w:val="3"/>
    <w:qFormat/>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1055</Words>
  <Characters>1338</Characters>
  <Lines>12</Lines>
  <Paragraphs>3</Paragraphs>
  <TotalTime>55</TotalTime>
  <ScaleCrop>false</ScaleCrop>
  <LinksUpToDate>false</LinksUpToDate>
  <CharactersWithSpaces>1504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°苗阿糖°</cp:lastModifiedBy>
  <dcterms:modified xsi:type="dcterms:W3CDTF">2026-04-20T06:37:20Z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eyJoZGlkIjoiMzRlZGMyMzI2ZjYwNjA4ZGVhMjY0OGUwNjFjNDIzZmQiLCJ1c2VySWQiOiIyNDczOTk1MzUifQ==</vt:lpwstr>
  </property>
  <property fmtid="{D5CDD505-2E9C-101B-9397-08002B2CF9AE}" pid="4" name="ICV">
    <vt:lpwstr>D1E8F804244740EF9C47E280E765C5A0_12</vt:lpwstr>
  </property>
</Properties>
</file>